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VO-ID211840 (Brandenburg)</w:t>
      </w:r>
    </w:p>
    <w:p>
      <w:r>
        <w:rPr>
          <w:color w:val="555555"/>
          <w:sz w:val="18"/>
        </w:rPr>
        <w:t xml:space="preserve">Erste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das in der Anlage 1 zu dieser Verordnung näher</w:t>
      </w:r>
    </w:p>
    <w:p>
      <w:r>
        <w:t xml:space="preserve">bezeichnete Gebiet mit den Ortsteilen Poley, Henriette und Luisensiedlung der</w:t>
      </w:r>
    </w:p>
    <w:p>
      <w:r>
        <w:t xml:space="preserve">Gemeinde Sallgast, von Annahütte einschließlich Siedlung sowie von</w:t>
      </w:r>
    </w:p>
    <w:p>
      <w:r>
        <w:t xml:space="preserve">Teilen der Gemeinde Klettwitz (Bereich Krankenhaus) wird die</w:t>
      </w:r>
    </w:p>
    <w:p>
      <w:r>
        <w:t xml:space="preserve">Baubeschränkung aufgehoben.</w:t>
      </w:r>
    </w:p>
    <w:p>
      <w:r>
        <w:rPr>
          <w:color w:val="555555"/>
          <w:sz w:val="17"/>
        </w:rPr>
        <w:t xml:space="preserve">Zitiervorschlag: § 1 VO-ID211840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