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VO-ID211838 (Brandenburg)</w:t>
      </w:r>
    </w:p>
    <w:p>
      <w:r>
        <w:rPr>
          <w:color w:val="555555"/>
          <w:sz w:val="18"/>
        </w:rPr>
        <w:t xml:space="preserve">Verordnung zur Regelung der Einziehung und Beitreibung der Handwerkskammerbeiträge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26. September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Wirtschaft, Mittelstand und</w:t>
      </w:r>
    </w:p>
    <w:p>
      <w:r>
        <w:t xml:space="preserve">Technologie</w:t>
      </w:r>
    </w:p>
    <w:p>
      <w:r>
        <w:t xml:space="preserve">Dr. Burkhard Dreher</w:t>
      </w:r>
    </w:p>
    <w:p>
      <w:r>
        <w:rPr>
          <w:color w:val="555555"/>
          <w:sz w:val="17"/>
        </w:rPr>
        <w:t xml:space="preserve">Zitiervorschlag: § 2 VO-ID211838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https://recht.nulegal.eu/gesetze/VO-ID211838/2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