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VO-ID211838 (Brandenburg)</w:t>
      </w:r>
    </w:p>
    <w:p>
      <w:r>
        <w:rPr>
          <w:color w:val="555555"/>
          <w:sz w:val="18"/>
        </w:rPr>
        <w:t xml:space="preserve">Verordnung zur Regelung der Einziehung und Beitreibung der Handwerkskammerbeiträge im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Beiträge der selbständigen Handwerker und der</w:t>
      </w:r>
    </w:p>
    <w:p>
      <w:r>
        <w:t xml:space="preserve">Inhaber handwerksähnlicher Betriebe werden von den Handwerkskammern</w:t>
      </w:r>
    </w:p>
    <w:p>
      <w:r>
        <w:t xml:space="preserve">eingezogen und von den Gemeinden nach den für Gemeindeabgaben geltenden</w:t>
      </w:r>
    </w:p>
    <w:p>
      <w:r>
        <w:t xml:space="preserve">landesrechtlichen Vorschriften beigetrieben.</w:t>
      </w:r>
    </w:p>
    <w:p>
      <w:r>
        <w:rPr>
          <w:color w:val="555555"/>
          <w:sz w:val="17"/>
        </w:rPr>
        <w:t xml:space="preserve">Zitiervorschlag: § 1 VO-ID211838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https://recht.nulegal.eu/gesetze/VO-ID211838/1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