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VO-ID211827 (Brandenburg) — Versagung, Genehmigung und Beschränkung des Umbruchs von Dauergrünland</w:t>
      </w:r>
    </w:p>
    <w:p>
      <w:r>
        <w:rPr>
          <w:color w:val="555555"/>
          <w:sz w:val="18"/>
        </w:rPr>
        <w:t xml:space="preserve">Verordnung über Zuständigkeiten nach dem Direktzahlungen-Verpflichtungengesetz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für die Versagung, Genehmigung und die Beschränkung des Umbruchs von Dauergrünland gemäß den Artikeln 3 und 4 der Verordnung 796/2004 der Kommission vom 21. April 2004 mit Durchführungsbestimmungen zur Einhaltung anderweitiger Verpflichtungen, zur Modulation und zum Integrierten Verwaltungs- und Kontrollsystem nach der Verordnung (EG) Nr. 1782/2003 des Rates mit gemeinsamen Regeln für Direktzahlungen im Rahmen der Gemeinsamen Agrarpolitik und mit bestimmten Stützungsregelungen für Inhaber landwirtschaftlicher Betriebe (ABl. EU Nr. L 141 S. 18) in der jeweils geltenden Fassung ist das Landesamt für Verbraucherschutz, Landwirtschaft und Flurneuordnung.</w:t>
      </w:r>
    </w:p>
    <w:p>
      <w:r>
        <w:rPr>
          <w:color w:val="555555"/>
          <w:sz w:val="17"/>
        </w:rPr>
        <w:t xml:space="preserve">Zitiervorschlag: § 2 VO-ID211827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https://recht.nulegal.eu/gesetze/VO-ID211827/2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