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VO-ID211783 (Brandenburg) — Inkrafttreten</w:t>
      </w:r>
    </w:p>
    <w:p>
      <w:r>
        <w:rPr>
          <w:color w:val="555555"/>
          <w:sz w:val="18"/>
        </w:rPr>
        <w:t xml:space="preserve">Verordnung über die Bildung des Braunkohlenausschusses des Landes Brandenburg (Bbg BKAusV)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26. Februar 1992 in</w:t>
      </w:r>
    </w:p>
    <w:p>
      <w:r>
        <w:t xml:space="preserve">Kraft.</w:t>
      </w:r>
    </w:p>
    <w:p>
      <w:r>
        <w:rPr>
          <w:color w:val="555555"/>
          <w:sz w:val="17"/>
        </w:rPr>
        <w:t xml:space="preserve">Zitiervorschlag: § 4 VO-ID211783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https://recht.nulegal.eu/gesetze/VO-ID211783/4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