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VO-ID211783 (Brandenburg) — Vorsitz, Sitzungen und Geschäftsführung des Braunkohlenausschusses</w:t>
      </w:r>
    </w:p>
    <w:p>
      <w:r>
        <w:rPr>
          <w:color w:val="555555"/>
          <w:sz w:val="18"/>
        </w:rPr>
        <w:t xml:space="preserve">Verordnung über die Bildung des Braunkohlenausschusses des Landes Brandenburg (Bbg BKAusV)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Braunkohlenausschuß wählt für die</w:t>
      </w:r>
    </w:p>
    <w:p>
      <w:r>
        <w:t xml:space="preserve">Dauer seiner Wahlzeit aus der Mitte der stimmberechtigten Mitglieder unter</w:t>
      </w:r>
    </w:p>
    <w:p>
      <w:r>
        <w:t xml:space="preserve">Leitung des lebensältesten stimmberechtigten Mitgliedes des</w:t>
      </w:r>
    </w:p>
    <w:p>
      <w:r>
        <w:t xml:space="preserve">Braunkohlenausschusses ohne Aussprache seinen Vorsitzenden und zwei</w:t>
      </w:r>
    </w:p>
    <w:p>
      <w:r>
        <w:t xml:space="preserve">Stellvertreter.</w:t>
      </w:r>
    </w:p>
    <w:p>
      <w:r>
        <w:t xml:space="preserve">(2) Der Vorsitzende des Braunkohlenausschusses muß ein</w:t>
      </w:r>
    </w:p>
    <w:p>
      <w:r>
        <w:t xml:space="preserve">Mitglied nach § 1 Abs. 2 sein.</w:t>
      </w:r>
    </w:p>
    <w:p>
      <w:r>
        <w:t xml:space="preserve">(3) Der Braunkohlenausschuß gibt sich eine</w:t>
      </w:r>
    </w:p>
    <w:p>
      <w:r>
        <w:t xml:space="preserve">Geschäftsordnung.</w:t>
      </w:r>
    </w:p>
    <w:p>
      <w:r>
        <w:t xml:space="preserve">(4) Der Braunkohlenausschuß tritt so oft zusammen, wie</w:t>
      </w:r>
    </w:p>
    <w:p>
      <w:r>
        <w:t xml:space="preserve">es die Geschäfte erfordern, jedoch mindestens zweimal im Jahr. Der</w:t>
      </w:r>
    </w:p>
    <w:p>
      <w:r>
        <w:t xml:space="preserve">Vorsitzende beruft die Sitzung des Braunkohlenausschusses unter Bekanntgabe der</w:t>
      </w:r>
    </w:p>
    <w:p>
      <w:r>
        <w:t xml:space="preserve">Tagesordnung ein. Der Braunkohlenausschuß ist unverzüglich</w:t>
      </w:r>
    </w:p>
    <w:p>
      <w:r>
        <w:t xml:space="preserve">einzuberufen, wenn ein Fünftel seiner stimmberechtigten Mitglieder es</w:t>
      </w:r>
    </w:p>
    <w:p>
      <w:r>
        <w:t xml:space="preserve">verlangen.</w:t>
      </w:r>
    </w:p>
    <w:p>
      <w:r>
        <w:t xml:space="preserve">(5) Zur Unterstützung des Braunkohlenausschusses bei der</w:t>
      </w:r>
    </w:p>
    <w:p>
      <w:r>
        <w:t xml:space="preserve">Erarbeitung, Änderung und Ergänzung der Braunkohlen- und</w:t>
      </w:r>
    </w:p>
    <w:p>
      <w:r>
        <w:t xml:space="preserve">Sanierungspläne kann der Braunkohlenausschuß Arbeitskreise bilden.</w:t>
      </w:r>
    </w:p>
    <w:p>
      <w:r>
        <w:t xml:space="preserve">Das Nähere regelt die Geschäftsordnung.</w:t>
      </w:r>
    </w:p>
    <w:p>
      <w:r>
        <w:t xml:space="preserve">(6) Die Sitzungen des Braunkohlenausschusses sind</w:t>
      </w:r>
    </w:p>
    <w:p>
      <w:r>
        <w:t xml:space="preserve">öffentlich. Die Öffentlichkeit kann für einzelne Angelegenheiten</w:t>
      </w:r>
    </w:p>
    <w:p>
      <w:r>
        <w:t xml:space="preserve">durch Beschluß des Braunkohlenausschusses ausgeschlossen werden.</w:t>
      </w:r>
    </w:p>
    <w:p>
      <w:r>
        <w:t xml:space="preserve">(7) Die Geschäftsstelle des Braunkohlenausschusses mit</w:t>
      </w:r>
    </w:p>
    <w:p>
      <w:r>
        <w:t xml:space="preserve">Sitz in Cottbus untersteht dem Ministerium für Umwelt, Naturschutz und</w:t>
      </w:r>
    </w:p>
    <w:p>
      <w:r>
        <w:t xml:space="preserve">Raumordnung des Landes Brandenburg.</w:t>
      </w:r>
    </w:p>
    <w:p>
      <w:r>
        <w:rPr>
          <w:color w:val="555555"/>
          <w:sz w:val="17"/>
        </w:rPr>
        <w:t xml:space="preserve">Zitiervorschlag: § 3 VO-ID211783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https://recht.nulegal.eu/gesetze/VO-ID211783/3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