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VO-ID211783 (Brandenburg) — Mitglied im Braunkohlenausschuß</w:t>
      </w:r>
    </w:p>
    <w:p>
      <w:r>
        <w:rPr>
          <w:color w:val="555555"/>
          <w:sz w:val="18"/>
        </w:rPr>
        <w:t xml:space="preserve">Verordnung über die Bildung des Braunkohlenausschusses des Landes Brandenburg (Bbg BKAusV)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Zum stimmberechtigten Mitglied des Braunkohlenausschusses</w:t>
      </w:r>
    </w:p>
    <w:p>
      <w:r>
        <w:t xml:space="preserve">kann nicht gewählt oder bestellt werden, wer</w:t>
      </w:r>
    </w:p>
    <w:p>
      <w:r>
        <w:t xml:space="preserve">Mitglied des Vorstandes, des Aufsichtsrates oder eines gleichartigen</w:t>
      </w:r>
    </w:p>
    <w:p>
      <w:r>
        <w:t xml:space="preserve">Organs einer juristischen Person oder einer Vereinigung ist, der die</w:t>
      </w:r>
    </w:p>
    <w:p>
      <w:r>
        <w:t xml:space="preserve">Braunkohlen- und Sanierungsplanung einen unmittelbaren Vorteil oder Nachteil</w:t>
      </w:r>
    </w:p>
    <w:p>
      <w:r>
        <w:t xml:space="preserve">bringen kann;</w:t>
      </w:r>
    </w:p>
    <w:p>
      <w:r>
        <w:t xml:space="preserve">Beamter oder Angestellter der Landesplanungsbehörden ist.</w:t>
      </w:r>
    </w:p>
    <w:p>
      <w:r>
        <w:t xml:space="preserve">Grundsätzlich sollte ein stimmberechtigtes Mitglied nicht</w:t>
      </w:r>
    </w:p>
    <w:p>
      <w:r>
        <w:t xml:space="preserve">bei einem Braunkohlebergbauunternehmen gegen Entgelt beschäftigt sein.</w:t>
      </w:r>
    </w:p>
    <w:p>
      <w:r>
        <w:t xml:space="preserve">(2) Die Mitglieder des Braunkohlenausschusses werden für</w:t>
      </w:r>
    </w:p>
    <w:p>
      <w:r>
        <w:t xml:space="preserve">die Dauer der allgemeinen Wahlzeit der Vertretungen der Landkreise und</w:t>
      </w:r>
    </w:p>
    <w:p>
      <w:r>
        <w:t xml:space="preserve">kreisfreien Städte gewählt oder bestellt. Die Mitglieder üben</w:t>
      </w:r>
    </w:p>
    <w:p>
      <w:r>
        <w:t xml:space="preserve">ihr Amt nach Ablauf der Zeit, für die sie gewählt oder bestellt sind,</w:t>
      </w:r>
    </w:p>
    <w:p>
      <w:r>
        <w:t xml:space="preserve">bis zum Amtsantritt der neu gewählten oder bestellten Mitglieder weiter</w:t>
      </w:r>
    </w:p>
    <w:p>
      <w:r>
        <w:t xml:space="preserve">aus. Die Mitgliedschaft erlischt, wenn die Voraussetzungen für die Wahl</w:t>
      </w:r>
    </w:p>
    <w:p>
      <w:r>
        <w:t xml:space="preserve">oder Bestellung des Mitgliedes entfallen sind. Dies gilt ebenfalls, wenn</w:t>
      </w:r>
    </w:p>
    <w:p>
      <w:r>
        <w:t xml:space="preserve">Neuwahlen oder Wiederholungswahlen in der jeweiligen Gebietskörperschaft</w:t>
      </w:r>
    </w:p>
    <w:p>
      <w:r>
        <w:t xml:space="preserve">oder im gesamten Wahlgebiet stattfinden.</w:t>
      </w:r>
    </w:p>
    <w:p>
      <w:r>
        <w:t xml:space="preserve">(3) Die Mitglieder des Braunkohlenausschusses sind</w:t>
      </w:r>
    </w:p>
    <w:p>
      <w:r>
        <w:t xml:space="preserve">ehrenamtlich tätig.</w:t>
      </w:r>
    </w:p>
    <w:p>
      <w:r>
        <w:t xml:space="preserve">(4) Die Mitglieder des Braunkohlenausschusses sind</w:t>
      </w:r>
    </w:p>
    <w:p>
      <w:r>
        <w:t xml:space="preserve">verpflichtet, in ihrer Tätigkeit ausschließlich nach dem Gesetz und</w:t>
      </w:r>
    </w:p>
    <w:p>
      <w:r>
        <w:t xml:space="preserve">ihrer freien, nur durch Rücksicht auf das öffentliche Wohl bestimmten</w:t>
      </w:r>
    </w:p>
    <w:p>
      <w:r>
        <w:t xml:space="preserve">Überzeugung zu handeln. Sie sind an Aufträge nicht gebunden.</w:t>
      </w:r>
    </w:p>
    <w:p>
      <w:r>
        <w:rPr>
          <w:color w:val="555555"/>
          <w:sz w:val="17"/>
        </w:rPr>
        <w:t xml:space="preserve">Zitiervorschlag: § 2 VO-ID211783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https://recht.nulegal.eu/gesetze/VO-ID211783/2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