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VO-ID211769 (Brandenburg)</w:t>
      </w:r>
    </w:p>
    <w:p>
      <w:r>
        <w:rPr>
          <w:color w:val="555555"/>
          <w:sz w:val="18"/>
        </w:rPr>
        <w:t xml:space="preserve">Verordnung über die Bestimmung der Zentralen Behörde nach dem Haager Übereinkommen vom 15. November 1965 über die Zustellung gerichtlicher und außergerichtlicher Schriftstücke im Ausland in Zivil- und Handelssachen und dem Haager Übereinkommen vom 18. März 1970 über die Beweisaufnahme im Ausland in Zivil- oder Handelssachen sowie über die Bestimmung der Übermittlungsstelle nach dem Übereinkommen vom 20. Juni 1956 über die Geltendmachung von Unterhaltsansprüchen im Ausland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ihrer Verkündung in</w:t>
      </w:r>
    </w:p>
    <w:p>
      <w:r>
        <w:t xml:space="preserve">Kraft.</w:t>
      </w:r>
    </w:p>
    <w:p>
      <w:r>
        <w:t xml:space="preserve">Potsdam, den 10. Juli 1991</w:t>
      </w:r>
    </w:p>
    <w:p>
      <w:r>
        <w:t xml:space="preserve">Die Landesregierung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der Justiz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3 VO-ID211769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https://recht.nulegal.eu/gesetze/VO-ID211769/3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