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VO-ID211766 (Brandenburg)</w:t>
      </w:r>
    </w:p>
    <w:p>
      <w:r>
        <w:rPr>
          <w:color w:val="555555"/>
          <w:sz w:val="18"/>
        </w:rPr>
        <w:t xml:space="preserve">Verordnung über die Bestimmung von Zuständigkeiten nach dem Bundeswahlgesetz und dem Europawahlgesetz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25. März 1994</w:t>
      </w:r>
    </w:p>
    <w:p>
      <w:r>
        <w:t xml:space="preserve">Die Landesregierung des Landes Brandenburg</w:t>
      </w:r>
    </w:p>
    <w:p>
      <w:r>
        <w:t xml:space="preserve">Der Ministerpräsident</w:t>
      </w:r>
    </w:p>
    <w:p>
      <w:r>
        <w:t xml:space="preserve">Manfred Stolpe</w:t>
      </w:r>
    </w:p>
    <w:p>
      <w:r>
        <w:t xml:space="preserve">Der Minister des Innern</w:t>
      </w:r>
    </w:p>
    <w:p>
      <w:r>
        <w:t xml:space="preserve">Alwin Ziel</w:t>
      </w:r>
    </w:p>
    <w:p>
      <w:r>
        <w:rPr>
          <w:color w:val="555555"/>
          <w:sz w:val="17"/>
        </w:rPr>
        <w:t xml:space="preserve">Zitiervorschlag: § 5 VO-ID211766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https://recht.nulegal.eu/gesetze/VO-ID211766/5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