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VO-ID211766 (Brandenburg)</w:t>
      </w:r>
    </w:p>
    <w:p>
      <w:r>
        <w:rPr>
          <w:color w:val="555555"/>
          <w:sz w:val="18"/>
        </w:rPr>
        <w:t xml:space="preserve">Verordnung über die Bestimmung von Zuständigkeiten nach dem Bundeswahlgesetz und dem Europawahlgesetz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Amtsdirektor oder der hauptamtliche Bürgermeister ist zuständig für</w:t>
      </w:r>
    </w:p>
    <w:p>
      <w:r>
        <w:t xml:space="preserve">die Ernennung der Wahlvorsteher und ihrer Stellvertreter für die Bundestagswahlen und Europawahlen,</w:t>
      </w:r>
    </w:p>
    <w:p>
      <w:r>
        <w:t xml:space="preserve">die Berufung der Beisitzer der Wahlvorstände für die Bundestagswahlen und Europawahlen,</w:t>
      </w:r>
    </w:p>
    <w:p>
      <w:r>
        <w:t xml:space="preserve">die Berufung der Beisitzer der Wahlvorstände zur Feststellung des Briefwahlergebnisses im Falle einer Anordnung nach § 8 Abs. 3 des Bundeswahlgesetzes, sofern Wahlvorsteher und Wahlvorstände für einzelne oder mehrere Gemeinden eingesetzt werden, sowie im Falle einer Anordnung nach § 5 Abs. 2 des Europawahlgesetzes.</w:t>
      </w:r>
    </w:p>
    <w:p>
      <w:r>
        <w:rPr>
          <w:color w:val="555555"/>
          <w:sz w:val="17"/>
        </w:rPr>
        <w:t xml:space="preserve">Zitiervorschlag: § 4 VO-ID211766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https://recht.nulegal.eu/gesetze/VO-ID211766/4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