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VO-ID211766 (Brandenburg)</w:t>
      </w:r>
    </w:p>
    <w:p>
      <w:r>
        <w:rPr>
          <w:color w:val="555555"/>
          <w:sz w:val="18"/>
        </w:rPr>
        <w:t xml:space="preserve">Verordnung über die Bestimmung von Zuständigkeiten nach dem Bundeswahlgesetz und dem Europawahlgesetz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Landrat ist zuständig für die Berufung der Beisitzer des Wahlvorstandes zur Feststellung des Briefwahlergebnisses im Falle einer Anordnung nach § 8 Abs. 3 des Bundeswahlgesetzes, sofern Wahlvorsteher und Wahlvorstände für jeden Landkreis innerhalb des Wahlkreises eingesetzt werden.</w:t>
      </w:r>
    </w:p>
    <w:p>
      <w:r>
        <w:rPr>
          <w:color w:val="555555"/>
          <w:sz w:val="17"/>
        </w:rPr>
        <w:t xml:space="preserve">Zitiervorschlag: § 3 VO-ID211766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https://recht.nulegal.eu/gesetze/VO-ID211766/3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