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VO-ID211766 (Brandenburg)</w:t>
      </w:r>
    </w:p>
    <w:p>
      <w:r>
        <w:rPr>
          <w:color w:val="555555"/>
          <w:sz w:val="18"/>
        </w:rPr>
        <w:t xml:space="preserve">Verordnung über die Bestimmung von Zuständigkeiten nach dem Bundeswahlgesetz und dem Europawahlgesetz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Kreiswahlleiter für die Bundestagswahl ist zuständig für</w:t>
      </w:r>
    </w:p>
    <w:p>
      <w:r>
        <w:t xml:space="preserve">Anordnungen nach § 8 Abs. 3 des Bundeswahlgesetzes sowie Entscheidungen nach § 7 Nr. 2 der Bundeswahlordnung,</w:t>
      </w:r>
    </w:p>
    <w:p>
      <w:r>
        <w:t xml:space="preserve">die Ernennung der Wahlvorsteher und ihrer Stellvertreter sowie die Berufung der Beisitzer der Wahlvorstände zur Feststellung des Briefwahlergebnisses,</w:t>
      </w:r>
    </w:p>
    <w:p>
      <w:r>
        <w:t xml:space="preserve">die Ernennung der Wahlvorsteher und ihrer Stellvertreter zur Feststellung des Briefwahlergebnisses im Falle einer Anordnung nach § 8 Abs. 3 des Bundeswahlgesetzes.</w:t>
      </w:r>
    </w:p>
    <w:p>
      <w:r>
        <w:t xml:space="preserve">(2) Der Kreiswahlleiter für die Europawahl ist zuständig für</w:t>
      </w:r>
    </w:p>
    <w:p>
      <w:r>
        <w:t xml:space="preserve">Anordnungen nach § 5 Abs. 2 des Europawahlgesetzes sowie Entscheidungen nach § 7 Nr. 2 Satz 2 der Europawahlordnung,</w:t>
      </w:r>
    </w:p>
    <w:p>
      <w:r>
        <w:t xml:space="preserve">die Ernennung der Wahlvorsteher und ihrer Stellvertreter sowie die Berufung der Beisitzer der Wahlvorstände zur Feststellung des Briefwahlergebnisses,</w:t>
      </w:r>
    </w:p>
    <w:p>
      <w:r>
        <w:t xml:space="preserve">die Ernennung der Wahlvorsteher und ihrer Stellvertreter zur Feststellung des Briefwahlergebnisses im Falle einer Anordnung nach § 5 Abs. 2 des Europawahlgesetzes.</w:t>
      </w:r>
    </w:p>
    <w:p>
      <w:r>
        <w:t xml:space="preserve">(3) Für die Berufung des Wahlvorstehers und seines Stellvertreters und der Beisitzer nach Absatz 2 ist in kreisfreien Städten der Stadtwahlleiter zuständig.</w:t>
      </w:r>
    </w:p>
    <w:p>
      <w:r>
        <w:rPr>
          <w:color w:val="555555"/>
          <w:sz w:val="17"/>
        </w:rPr>
        <w:t xml:space="preserve">Zitiervorschlag: § 2 VO-ID211766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https://recht.nulegal.eu/gesetze/VO-ID211766/2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