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VO-ID211766 (Brandenburg)</w:t>
      </w:r>
    </w:p>
    <w:p>
      <w:r>
        <w:rPr>
          <w:color w:val="555555"/>
          <w:sz w:val="18"/>
        </w:rPr>
        <w:t xml:space="preserve">Verordnung über die Bestimmung von Zuständigkeiten nach dem Bundeswahlgesetz und dem Europawahlgesetz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Landeswahlleiter ist zuständig für die Ernennung</w:t>
      </w:r>
    </w:p>
    <w:p>
      <w:r>
        <w:t xml:space="preserve">der Kreiswahlleiter und ihrer Stellvertreter für die Bundestagswahlen,</w:t>
      </w:r>
    </w:p>
    <w:p>
      <w:r>
        <w:t xml:space="preserve">der Kreiswahlleiter und Stadtwahlleiter sowie ihrer Stellvertreter für die Europawahlen.</w:t>
      </w:r>
    </w:p>
    <w:p>
      <w:r>
        <w:rPr>
          <w:color w:val="555555"/>
          <w:sz w:val="17"/>
        </w:rPr>
        <w:t xml:space="preserve">Zitiervorschlag: § 1 VO-ID211766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https://recht.nulegal.eu/gesetze/VO-ID211766/1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