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VO-ID211758 (Brandenburg) — Ersatzgrundbuch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Ersatzgrundbuch in Papierform soll angelegt werden, wenn die Vornahme von</w:t>
      </w:r>
    </w:p>
    <w:p>
      <w:r>
        <w:t xml:space="preserve">Eintragungen in das maschinell geführte Grundbuch länger als einen Monat nicht möglich ist.</w:t>
      </w:r>
    </w:p>
    <w:p>
      <w:r>
        <w:t xml:space="preserve">(2) Bei Übernahme neuer Eintragungen aus dem Ersatzgrundbuch in das maschinell geführte</w:t>
      </w:r>
    </w:p>
    <w:p>
      <w:r>
        <w:t xml:space="preserve">Grundbuch nach § 141 Abs. 2 Satz 2 der Grundbuchordnung ist die Speicherung des Schriftzuges von Unterschriften nicht notwendig.</w:t>
      </w:r>
    </w:p>
    <w:p>
      <w:r>
        <w:t xml:space="preserve">Die aus dem Ersatzgrundbuch in das maschinell geführte Grundbuch übernommene</w:t>
      </w:r>
    </w:p>
    <w:p>
      <w:r>
        <w:t xml:space="preserve">Eintragung ist mit dem Vermerk abzuschließen: “Aus dem Ersatzgrundbuch übernommen</w:t>
      </w:r>
    </w:p>
    <w:p>
      <w:r>
        <w:t xml:space="preserve">und freigegeben am.......................”.</w:t>
      </w:r>
    </w:p>
    <w:p>
      <w:r>
        <w:t xml:space="preserve">Das Ersatzgrundbuch ist zu schließen. In der Aufschrift ist folgender Schließungsvermerk</w:t>
      </w:r>
    </w:p>
    <w:p>
      <w:r>
        <w:t xml:space="preserve">einzutragen: “Nach Wiederherstellung des maschinell geführten Grundbuchs</w:t>
      </w:r>
    </w:p>
    <w:p>
      <w:r>
        <w:t xml:space="preserve">geschlossen am .........................”. § 70 Abs. 2 Satz 2 der Grundbuchverfügung</w:t>
      </w:r>
    </w:p>
    <w:p>
      <w:r>
        <w:t xml:space="preserve">gilt entsprechend.</w:t>
      </w:r>
    </w:p>
    <w:p>
      <w:r>
        <w:rPr>
          <w:color w:val="555555"/>
          <w:sz w:val="17"/>
        </w:rPr>
        <w:t xml:space="preserve">Zitiervorschlag: § 5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