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VO-ID211758 (Brandenburg) — Abrufverfahren</w:t>
      </w:r>
    </w:p>
    <w:p>
      <w:r>
        <w:rPr>
          <w:color w:val="555555"/>
          <w:sz w:val="18"/>
        </w:rPr>
        <w:t xml:space="preserve">Verordnung über das maschinell geführte Grundbuch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Für die Erteilung der Genehmigung des Abrufverfahrens nach § 133 Abs. 2 Satz 1 und</w:t>
      </w:r>
    </w:p>
    <w:p>
      <w:r>
        <w:t xml:space="preserve">§ 133 Abs. 4 Satz 2 der Grundbuchordnung ist der Präsident des</w:t>
      </w:r>
    </w:p>
    <w:p>
      <w:r>
        <w:t xml:space="preserve">Brandenburgischen Oberlandesgerichts zuständig.</w:t>
      </w:r>
    </w:p>
    <w:p>
      <w:r>
        <w:rPr>
          <w:color w:val="555555"/>
          <w:sz w:val="17"/>
        </w:rPr>
        <w:t xml:space="preserve">Zitiervorschlag: § 4 VO-ID211758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https://recht.nulegal.eu/gesetze/VO-ID211758/4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