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VO-ID211758 (Brandenburg) — Anlegung des maschinell geführten Grundbuchs</w:t>
      </w:r>
    </w:p>
    <w:p>
      <w:r>
        <w:rPr>
          <w:color w:val="555555"/>
          <w:sz w:val="18"/>
        </w:rPr>
        <w:t xml:space="preserve">Verordnung über das maschinell geführte Grundbuch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Anlegung des maschinell geführten Grundbuchs richtet sich nach § 67 Satz 1</w:t>
      </w:r>
    </w:p>
    <w:p>
      <w:r>
        <w:t xml:space="preserve">der Grundbuchverfügung.</w:t>
      </w:r>
    </w:p>
    <w:p>
      <w:r>
        <w:t xml:space="preserve">(2) Die Freigabe des durch Umstellung angelegten maschinell geführten Grundbuchs nach § 128 Abs. 1 Satz 2 der Grundbuchordnung wird dem</w:t>
      </w:r>
    </w:p>
    <w:p>
      <w:r>
        <w:t xml:space="preserve">Urkundsbeamten der Geschäftsstelle übertragen.</w:t>
      </w:r>
    </w:p>
    <w:p>
      <w:r>
        <w:rPr>
          <w:color w:val="555555"/>
          <w:sz w:val="17"/>
        </w:rPr>
        <w:t xml:space="preserve">Zitiervorschlag: § 2 VO-ID211758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https://recht.nulegal.eu/gesetze/VO-ID211758/2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