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VO-ID211758 (Brandenburg) — Einführung des maschinell geführten Grundbuchs</w:t>
      </w:r>
    </w:p>
    <w:p>
      <w:r>
        <w:rPr>
          <w:color w:val="555555"/>
          <w:sz w:val="18"/>
        </w:rPr>
        <w:t xml:space="preserve">Verordnung über das maschinell geführte Grundbuch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Bei den Amtsgerichten ist das</w:t>
      </w:r>
    </w:p>
    <w:p>
      <w:r>
        <w:t xml:space="preserve">Grundbuch in maschineller Form als automatisierte Datei anzulegen. Die einzelnen</w:t>
      </w:r>
    </w:p>
    <w:p>
      <w:r>
        <w:t xml:space="preserve">maschinell geführten Grundbücher treten mit ihrer Freigabe (§ 128 der</w:t>
      </w:r>
    </w:p>
    <w:p>
      <w:r>
        <w:t xml:space="preserve">Grundbuchordnung) an die Stelle der bisher in Papierform geführten Grundbücher.</w:t>
      </w:r>
    </w:p>
    <w:p>
      <w:r>
        <w:rPr>
          <w:color w:val="555555"/>
          <w:sz w:val="17"/>
        </w:rPr>
        <w:t xml:space="preserve">Zitiervorschlag: § 1 VO-ID211758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https://recht.nulegal.eu/gesetze/VO-ID211758/1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