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VO-ID211757 (Brandenburg) — Mitteilungen</w:t>
      </w:r>
    </w:p>
    <w:p>
      <w:r>
        <w:rPr>
          <w:color w:val="555555"/>
          <w:sz w:val="18"/>
        </w:rPr>
        <w:t xml:space="preserve">Verordnung über die grundbuchmäßige Behandlung von Bergwerkseigentum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Eintragung eines neuen Bergwerkseigentümers ist dem</w:t>
      </w:r>
    </w:p>
    <w:p>
      <w:r>
        <w:t xml:space="preserve">Landesamt für Bergbau, Geologie und Rohstoffe mitzuteilen, sofern das</w:t>
      </w:r>
    </w:p>
    <w:p>
      <w:r>
        <w:t xml:space="preserve">Landesamt für Bergbau, Geologie und Rohstoffe nicht selbst die Eintragung</w:t>
      </w:r>
    </w:p>
    <w:p>
      <w:r>
        <w:t xml:space="preserve">beantragt.</w:t>
      </w:r>
    </w:p>
    <w:p>
      <w:r>
        <w:rPr>
          <w:color w:val="555555"/>
          <w:sz w:val="17"/>
        </w:rPr>
        <w:t xml:space="preserve">Zitiervorschlag: § 8 VO-ID211757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https://recht.nulegal.eu/gesetze/VO-ID211757/8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