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VO-ID211757 (Brandenburg) — Eintragungsersuchen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Bezüglich des auf Grund der Verordnung über die</w:t>
      </w:r>
    </w:p>
    <w:p>
      <w:r>
        <w:t xml:space="preserve">Verleihung von Bergwerkseigentum vom 15. August 1990 (GBl. I Nr. 53 S. 1071)</w:t>
      </w:r>
    </w:p>
    <w:p>
      <w:r>
        <w:t xml:space="preserve">verliehenen Bergwerkseigentums ersucht die zuständige Behörde das</w:t>
      </w:r>
    </w:p>
    <w:p>
      <w:r>
        <w:t xml:space="preserve">Amtsgericht (Grundbuchamt) um Eintragung des Bergwerkseigentums im Grundbuch.</w:t>
      </w:r>
    </w:p>
    <w:p>
      <w:r>
        <w:t xml:space="preserve">Dem Ersuchen ist eine beglaubigte Abschrift der Berechtsamsurkunde und der</w:t>
      </w:r>
    </w:p>
    <w:p>
      <w:r>
        <w:t xml:space="preserve">Bestätigungsurkunde beizufügen.</w:t>
      </w:r>
    </w:p>
    <w:p>
      <w:r>
        <w:rPr>
          <w:color w:val="555555"/>
          <w:sz w:val="17"/>
        </w:rPr>
        <w:t xml:space="preserve">Zitiervorschlag: § 7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