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VO-ID211757 (Brandenburg) — Grundpfandrechtsbriefe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der Bildung von Hypotheken-, Grundschuld- und</w:t>
      </w:r>
    </w:p>
    <w:p>
      <w:r>
        <w:t xml:space="preserve">Rentenschuldbriefen ist kenntlich zu machen, daß der belastete Gegenstand</w:t>
      </w:r>
    </w:p>
    <w:p>
      <w:r>
        <w:t xml:space="preserve">Bergwerkseigentum ist.</w:t>
      </w:r>
    </w:p>
    <w:p>
      <w:r>
        <w:rPr>
          <w:color w:val="555555"/>
          <w:sz w:val="17"/>
        </w:rPr>
        <w:t xml:space="preserve">Zitiervorschlag: § 6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