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VO-ID211757 (Brandenburg) — Erste Abteilung</w:t>
      </w:r>
    </w:p>
    <w:p>
      <w:r>
        <w:rPr>
          <w:color w:val="555555"/>
          <w:sz w:val="18"/>
        </w:rPr>
        <w:t xml:space="preserve">Verordnung über die grundbuchmäßige Behandlung von Bergwerkseigentum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In der ersten Abteilung sind die Bergwerkseigentümer</w:t>
      </w:r>
    </w:p>
    <w:p>
      <w:r>
        <w:t xml:space="preserve">einzutragen und die Grundlage der Eintragung anzugeben.</w:t>
      </w:r>
    </w:p>
    <w:p>
      <w:r>
        <w:rPr>
          <w:color w:val="555555"/>
          <w:sz w:val="17"/>
        </w:rPr>
        <w:t xml:space="preserve">Zitiervorschlag: § 5 VO-ID211757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https://recht.nulegal.eu/gesetze/VO-ID211757/5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