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VO-ID211757 (Brandenburg) — Besonderes Grundbuchblatt</w:t>
      </w:r>
    </w:p>
    <w:p>
      <w:r>
        <w:rPr>
          <w:color w:val="555555"/>
          <w:sz w:val="18"/>
        </w:rPr>
        <w:t xml:space="preserve">Verordnung über die grundbuchmäßige Behandlung von Bergwerkseigentum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jedes Bergwerkseigentum ist ein besonderes</w:t>
      </w:r>
    </w:p>
    <w:p>
      <w:r>
        <w:t xml:space="preserve">Grundbuchblatt anzulegen. Das Grundbuchblatt ist mit der Aufschrift</w:t>
      </w:r>
    </w:p>
    <w:p>
      <w:r>
        <w:t xml:space="preserve">Berggrundbuch zu versehen.</w:t>
      </w:r>
    </w:p>
    <w:p>
      <w:r>
        <w:rPr>
          <w:color w:val="555555"/>
          <w:sz w:val="17"/>
        </w:rPr>
        <w:t xml:space="preserve">Zitiervorschlag: § 3 VO-ID211757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