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VO-ID211757 (Brandenburg) — Zuständigkeit für das Berggrundbuch</w:t>
      </w:r>
    </w:p>
    <w:p>
      <w:r>
        <w:rPr>
          <w:color w:val="555555"/>
          <w:sz w:val="18"/>
        </w:rPr>
        <w:t xml:space="preserve">Verordnung über die grundbuchmäßige Behandlung von Bergwerkseigentum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Das Berggrundbuch wird für den gesamten Bereich des Landes</w:t>
      </w:r>
    </w:p>
    <w:p>
      <w:r>
        <w:t xml:space="preserve">Brandenburg bei dem Amtsgericht Cottbus geführt.</w:t>
      </w:r>
    </w:p>
    <w:p>
      <w:r>
        <w:rPr>
          <w:color w:val="555555"/>
          <w:sz w:val="17"/>
        </w:rPr>
        <w:t xml:space="preserve">Zitiervorschlag: § 2 VO-ID211757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https://recht.nulegal.eu/gesetze/VO-ID211757/2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