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VO-ID211757 (Brandenburg) — Einrichtung des Berggrundbuches</w:t>
      </w:r>
    </w:p>
    <w:p>
      <w:r>
        <w:rPr>
          <w:color w:val="555555"/>
          <w:sz w:val="18"/>
        </w:rPr>
        <w:t xml:space="preserve">Verordnung über die grundbuchmäßige Behandlung von Bergwerkseigentum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grundbuchmäßige Behandlung von</w:t>
      </w:r>
    </w:p>
    <w:p>
      <w:r>
        <w:t xml:space="preserve">Bergwerkseigentum wird das Berggrundbuch eingerichtet.</w:t>
      </w:r>
    </w:p>
    <w:p>
      <w:r>
        <w:t xml:space="preserve">(2) Für die Einrichtung und Führung des</w:t>
      </w:r>
    </w:p>
    <w:p>
      <w:r>
        <w:t xml:space="preserve">Berggrundbuches gelten die Vorschriften der Grundbuchverfügung</w:t>
      </w:r>
    </w:p>
    <w:p>
      <w:r>
        <w:t xml:space="preserve">entsprechend, soweit sich nicht aus den nachstehenden Vorschriften Abweichendes</w:t>
      </w:r>
    </w:p>
    <w:p>
      <w:r>
        <w:t xml:space="preserve">ergibt.</w:t>
      </w:r>
    </w:p>
    <w:p>
      <w:r>
        <w:rPr>
          <w:color w:val="555555"/>
          <w:sz w:val="17"/>
        </w:rPr>
        <w:t xml:space="preserve">Zitiervorschlag: § 1 VO-ID211757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