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VO-ID211756 (Brandenburg)</w:t>
      </w:r>
    </w:p>
    <w:p>
      <w:r>
        <w:rPr>
          <w:color w:val="555555"/>
          <w:sz w:val="18"/>
        </w:rPr>
        <w:t xml:space="preserve">Verordnung über die Übertragung der Befugnis zum Erlaß von Verwaltungsvorschriften über Amtstracht bei den Gerichten sowie Dienstkleidung bei den Gerichten und in den Justizvollzugsanstalten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§ 1 genannten Verwaltungsvorschriften sind im Einvernehmen mit</w:t>
      </w:r>
    </w:p>
    <w:p>
      <w:r>
        <w:t xml:space="preserve">dem Minister der Finanzen und dem Minister des Innern zu erlassen.</w:t>
      </w:r>
    </w:p>
    <w:p>
      <w:r>
        <w:rPr>
          <w:color w:val="555555"/>
          <w:sz w:val="17"/>
        </w:rPr>
        <w:t xml:space="preserve">Zitiervorschlag: § 2 VO-ID211756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