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VO-ID211756 (Brandenburg)</w:t>
      </w:r>
    </w:p>
    <w:p>
      <w:r>
        <w:rPr>
          <w:color w:val="555555"/>
          <w:sz w:val="18"/>
        </w:rPr>
        <w:t xml:space="preserve">Verordnung über die Übertragung der Befugnis zum Erlaß von Verwaltungsvorschriften über Amtstracht bei den Gerichten sowie Dienstkleidung bei den Gerichten und in den Justizvollzugsanstalten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Befugnis der Landesregierung nach § 42 Satz 1 des</w:t>
      </w:r>
    </w:p>
    <w:p>
      <w:r>
        <w:t xml:space="preserve">Landesbeamtengesetzes zum Erlaß von Verwaltungsvorschriften über</w:t>
      </w:r>
    </w:p>
    <w:p>
      <w:r>
        <w:t xml:space="preserve">Dienstkleidung, die bei Ausübung des Amtes üblich oder erforderlich</w:t>
      </w:r>
    </w:p>
    <w:p>
      <w:r>
        <w:t xml:space="preserve">ist, wird auf den Minister der Justiz und die Ministerin für Arbeit,</w:t>
      </w:r>
    </w:p>
    <w:p>
      <w:r>
        <w:t xml:space="preserve">Soziales, Gesundheit und Frauen jeweils für ihren Geschäftsbereich</w:t>
      </w:r>
    </w:p>
    <w:p>
      <w:r>
        <w:t xml:space="preserve">übertragen. Dies gilt ebenfalls für die Übertragung der Befugnis</w:t>
      </w:r>
    </w:p>
    <w:p>
      <w:r>
        <w:t xml:space="preserve">nach § 42 Satz 1 des Landesbeamtengesetzes in Verbindung mit § 11</w:t>
      </w:r>
    </w:p>
    <w:p>
      <w:r>
        <w:t xml:space="preserve">Abs. 1 des Brandenburgischen Richtergesetzes.</w:t>
      </w:r>
    </w:p>
    <w:p>
      <w:r>
        <w:rPr>
          <w:color w:val="555555"/>
          <w:sz w:val="17"/>
        </w:rPr>
        <w:t xml:space="preserve">Zitiervorschlag: § 1 VO-ID211756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https://recht.nulegal.eu/gesetze/VO-ID211756/1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