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VO-ID211755 (Brandenburg) — Erfassungsablauf</w:t>
      </w:r>
    </w:p>
    <w:p>
      <w:r>
        <w:rPr>
          <w:color w:val="555555"/>
          <w:sz w:val="18"/>
        </w:rPr>
        <w:t xml:space="preserve">Verordnung über die Erhebung jagdstatistischer Daten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Basiseinheit für die Erfassung der Daten sind die gemeinschaftlichen Jagdbezirke, die Eigenjagdbezirke und die Verwaltungsjagdbezirke.</w:t>
      </w:r>
    </w:p>
    <w:p>
      <w:r>
        <w:t xml:space="preserve">(2) Die Jagdausübungsberechtigten, Eigenjagdinhaberinnen und Eigenjagdinhaber oder deren Benannte übermitteln die angeforderten Daten nach den Vorgaben der obersten Jagdbehörde auf digitalem Weg.</w:t>
      </w:r>
    </w:p>
    <w:p>
      <w:r>
        <w:t xml:space="preserve">(3) Zur zentralen Zusammenfassung auf Kreis- und Landesebene sind die bereitgestellten Datenträger zu folgenden Terminen an den Datenspeicher Jagd weiterzuleiten:</w:t>
      </w:r>
    </w:p>
    <w:p>
      <w:r>
        <w:t xml:space="preserve">Grunddaten der Jagdbezirke 31. Januar</w:t>
      </w:r>
    </w:p>
    <w:p>
      <w:r>
        <w:t xml:space="preserve">Strecken- und Wildschadensmeldung der Jagdbezirke 15. April</w:t>
      </w:r>
    </w:p>
    <w:p>
      <w:r>
        <w:t xml:space="preserve">Bestand/Besatz jagdbarer und ausgewählter nicht jagdbarer Tierarten 15. April</w:t>
      </w:r>
    </w:p>
    <w:p>
      <w:r>
        <w:rPr>
          <w:color w:val="555555"/>
          <w:sz w:val="17"/>
        </w:rPr>
        <w:t xml:space="preserve">Zitiervorschlag: § 3 VO-ID211755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https://recht.nulegal.eu/gesetze/VO-ID211755/3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