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VO-ID211755 (Brandenburg) — Geltungsbereich</w:t>
      </w:r>
    </w:p>
    <w:p>
      <w:r>
        <w:rPr>
          <w:color w:val="555555"/>
          <w:sz w:val="18"/>
        </w:rPr>
        <w:t xml:space="preserve">Verordnung über die Erhebung jagdstatistischer Daten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gilt für alle Jagdbezirke im Land Brandenburg, unabhängig von Eigentums- bzw. Rechtsformen, die Jagdbehörden und Ämter für Forstwirtschaft des Landes Brandenburg, das Landesforstamt sowie für die in Brandenburg ansässigen Bundesforstämter.</w:t>
      </w:r>
    </w:p>
    <w:p>
      <w:r>
        <w:rPr>
          <w:color w:val="555555"/>
          <w:sz w:val="17"/>
        </w:rPr>
        <w:t xml:space="preserve">Zitiervorschlag: § 1 VO-ID211755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