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VO-ID211754 (Brandenburg) — Wirksamwerden</w:t>
      </w:r>
    </w:p>
    <w:p>
      <w:r>
        <w:rPr>
          <w:color w:val="555555"/>
          <w:sz w:val="18"/>
        </w:rPr>
        <w:t xml:space="preserve">Verordnung zur Bestimmung der Städte Bernau bei Berlin, Falkensee, Hennigsdorf und Spremberg zu Mittleren kreisangehörigen Städten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Statusregelungen nach § 1 werden am 1. Januar 2006 wirksam.</w:t>
      </w:r>
    </w:p>
    <w:p>
      <w:r>
        <w:rPr>
          <w:color w:val="555555"/>
          <w:sz w:val="17"/>
        </w:rPr>
        <w:t xml:space="preserve">Zitiervorschlag: § 2 VO-ID211754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