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VO-ID211740 (Brandenburg)</w:t>
      </w:r>
    </w:p>
    <w:p>
      <w:r>
        <w:rPr>
          <w:color w:val="555555"/>
          <w:sz w:val="18"/>
        </w:rPr>
        <w:t xml:space="preserve">Fünfte Verordnung zur Übertragung der Befugnis für den Erlass von Rechtsverordnungen zur Festsetzung von Naturschutzgebieten und Landschaftsschutzgebieten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1 der Ersten Verordnung zur Übertragung der</w:t>
      </w:r>
    </w:p>
    <w:p>
      <w:r>
        <w:t xml:space="preserve">Befugnis für den Erlass von Rechtsverordnungen zur Festsetzung von</w:t>
      </w:r>
    </w:p>
    <w:p>
      <w:r>
        <w:t xml:space="preserve">Naturschutzgebieten und Landschaftsschutzgebieten vom 8. Januar 1996</w:t>
      </w:r>
    </w:p>
    <w:p>
      <w:r>
        <w:t xml:space="preserve">(GVBl. II S. 51) wird wie folgt geändert:</w:t>
      </w:r>
    </w:p>
    <w:p>
      <w:r>
        <w:t xml:space="preserve">In Absatz 1 Nr. 7 wird die Angabe „i)</w:t>
      </w:r>
    </w:p>
    <w:p>
      <w:r>
        <w:t xml:space="preserve">„Silberberge“ “ gestrichen.</w:t>
      </w:r>
    </w:p>
    <w:p>
      <w:r>
        <w:t xml:space="preserve">Absatz 2 wird wie folgt gefasst:</w:t>
      </w:r>
    </w:p>
    <w:p>
      <w:r>
        <w:t xml:space="preserve">„(2) Die Befugnis des für Naturschutz</w:t>
      </w:r>
    </w:p>
    <w:p>
      <w:r>
        <w:t xml:space="preserve">und Landschaftspflege zuständigen Fachministers zur Aufhebung von</w:t>
      </w:r>
    </w:p>
    <w:p>
      <w:r>
        <w:t xml:space="preserve">Rechtsverordnungen nach § 78 Abs. 1 Satz 5 des</w:t>
      </w:r>
    </w:p>
    <w:p>
      <w:r>
        <w:t xml:space="preserve">Brandenburgischen Naturschutzgesetzes wird für das im Landkreis</w:t>
      </w:r>
    </w:p>
    <w:p>
      <w:r>
        <w:t xml:space="preserve">Oberspreewald-Lausitz gelegene Naturschutzgebiet „Kesselschlucht“ auf</w:t>
      </w:r>
    </w:p>
    <w:p>
      <w:r>
        <w:t xml:space="preserve">den Landkreis Oberspreewald-Lausitz als untere Naturschutzbehörde</w:t>
      </w:r>
    </w:p>
    <w:p>
      <w:r>
        <w:t xml:space="preserve">übertragen.“</w:t>
      </w:r>
    </w:p>
    <w:p>
      <w:r>
        <w:t xml:space="preserve">(2) § 1 der Zweiten Verordnung zur Übertragung der</w:t>
      </w:r>
    </w:p>
    <w:p>
      <w:r>
        <w:t xml:space="preserve">Befugnis für den Erlass von Rechtsverordnungen zur Festsetzung von</w:t>
      </w:r>
    </w:p>
    <w:p>
      <w:r>
        <w:t xml:space="preserve">Naturschutzgebieten und Landschaftsschutzgebieten vom 4. Juni 1997 (GVBl.</w:t>
      </w:r>
    </w:p>
    <w:p>
      <w:r>
        <w:t xml:space="preserve">II S. 485) wird wie folgt geändert:</w:t>
      </w:r>
    </w:p>
    <w:p>
      <w:r>
        <w:t xml:space="preserve">Absatz 1 wird wie folgt geändert:</w:t>
      </w:r>
    </w:p>
    <w:p>
      <w:r>
        <w:t xml:space="preserve">Nummer 5 wird gestrichen.</w:t>
      </w:r>
    </w:p>
    <w:p>
      <w:r>
        <w:t xml:space="preserve">In Nummer 8 werden die Angaben „a) „Münchwerder“ “,</w:t>
      </w:r>
    </w:p>
    <w:p>
      <w:r>
        <w:t xml:space="preserve">„c) „Pelze“ “ und die Wörter „und das</w:t>
      </w:r>
    </w:p>
    <w:p>
      <w:r>
        <w:t xml:space="preserve">dort geplante Landschaftsschutzgebiet „Breites Bruch und Schmerzker</w:t>
      </w:r>
    </w:p>
    <w:p>
      <w:r>
        <w:t xml:space="preserve">Busch“ “</w:t>
      </w:r>
    </w:p>
    <w:p>
      <w:r>
        <w:t xml:space="preserve">gestrichen.</w:t>
      </w:r>
    </w:p>
    <w:p>
      <w:r>
        <w:t xml:space="preserve">In Nummer 9 wird die Angabe „a) „Booßener</w:t>
      </w:r>
    </w:p>
    <w:p>
      <w:r>
        <w:t xml:space="preserve">Teichlandschaft“ “ gestrichen.</w:t>
      </w:r>
    </w:p>
    <w:p>
      <w:r>
        <w:t xml:space="preserve">Absatz 3 wird aufgehoben.</w:t>
      </w:r>
    </w:p>
    <w:p>
      <w:r>
        <w:rPr>
          <w:color w:val="555555"/>
          <w:sz w:val="17"/>
        </w:rPr>
        <w:t xml:space="preserve">Zitiervorschlag: § 2 VO-ID211740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https://recht.nulegal.eu/gesetze/VO-ID211740/2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