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VO-ID211740 (Brandenburg)</w:t>
      </w:r>
    </w:p>
    <w:p>
      <w:r>
        <w:rPr>
          <w:color w:val="555555"/>
          <w:sz w:val="18"/>
        </w:rPr>
        <w:t xml:space="preserve">Fünfte Verordnung zur Übertragung der Befugnis für den Erlass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Befugnis des für Naturschutz und Landschaftspflege</w:t>
      </w:r>
    </w:p>
    <w:p>
      <w:r>
        <w:t xml:space="preserve">zuständigen Fachministers zum Erlass von Rechtsverordnungen zur</w:t>
      </w:r>
    </w:p>
    <w:p>
      <w:r>
        <w:t xml:space="preserve">Festsetzung von Naturschutzgebieten und Landschaftsschutzgebieten nach §</w:t>
      </w:r>
    </w:p>
    <w:p>
      <w:r>
        <w:t xml:space="preserve">21 Abs. 1 und § 22 Abs. 2 des Brandenburgischen Naturschutzgesetzes wird</w:t>
      </w:r>
    </w:p>
    <w:p>
      <w:r>
        <w:t xml:space="preserve">für das im Landkreis Uckermark geplante</w:t>
      </w:r>
    </w:p>
    <w:p>
      <w:r>
        <w:t xml:space="preserve">Landschaftsschutzgebiet „Unter-Uckersee“ auf den Landkreis Uckermark</w:t>
      </w:r>
    </w:p>
    <w:p>
      <w:r>
        <w:t xml:space="preserve">als untere Naturschutzbehörde,</w:t>
      </w:r>
    </w:p>
    <w:p>
      <w:r>
        <w:t xml:space="preserve">(aufgehoben)</w:t>
      </w:r>
    </w:p>
    <w:p>
      <w:r>
        <w:t xml:space="preserve">für das in der kreisfreien Stadt Cottbus geplante</w:t>
      </w:r>
    </w:p>
    <w:p>
      <w:r>
        <w:t xml:space="preserve">Naturschutzgebiet „Fuchsberg“ auf die kreisfreie Stadt Cottbus als</w:t>
      </w:r>
    </w:p>
    <w:p>
      <w:r>
        <w:t xml:space="preserve">untere Naturschutzbehörde übertragen.</w:t>
      </w:r>
    </w:p>
    <w:p>
      <w:r>
        <w:t xml:space="preserve">(2) Die Befugnis des für Naturschutz und Landschaftspflege</w:t>
      </w:r>
    </w:p>
    <w:p>
      <w:r>
        <w:t xml:space="preserve">zuständigen Fachministers zur Aufhebung oder Änderung von</w:t>
      </w:r>
    </w:p>
    <w:p>
      <w:r>
        <w:t xml:space="preserve">Rechtsverordnungen nach § 78 Abs. 1 Satz 5 des Brandenburgischen</w:t>
      </w:r>
    </w:p>
    <w:p>
      <w:r>
        <w:t xml:space="preserve">Naturschutzgesetzes wird</w:t>
      </w:r>
    </w:p>
    <w:p>
      <w:r>
        <w:t xml:space="preserve">für die im Landkreis Teltow-Fläming gelegenen</w:t>
      </w:r>
    </w:p>
    <w:p>
      <w:r>
        <w:t xml:space="preserve">Landschaftsschutzgebiete</w:t>
      </w:r>
    </w:p>
    <w:p>
      <w:r>
        <w:t xml:space="preserve">„Großer Zeschsee“</w:t>
      </w:r>
    </w:p>
    <w:p>
      <w:r>
        <w:t xml:space="preserve">„Der Lange Horstberg“</w:t>
      </w:r>
    </w:p>
    <w:p>
      <w:r>
        <w:t xml:space="preserve">auf den Landkreis Teltow-Fläming als untere</w:t>
      </w:r>
    </w:p>
    <w:p>
      <w:r>
        <w:t xml:space="preserve">Naturschutzbehörde,</w:t>
      </w:r>
    </w:p>
    <w:p>
      <w:r>
        <w:t xml:space="preserve">für das in den Landkreisen Märkisch-Oderland und</w:t>
      </w:r>
    </w:p>
    <w:p>
      <w:r>
        <w:t xml:space="preserve">Oder-Spree gelegene Landschaftsschutzgebiet „Madlitz-Falkenhagener</w:t>
      </w:r>
    </w:p>
    <w:p>
      <w:r>
        <w:t xml:space="preserve">Seengebiet“ hinsichtlich des im Landkreis Märkisch-Oderland</w:t>
      </w:r>
    </w:p>
    <w:p>
      <w:r>
        <w:t xml:space="preserve">befindlichen Teils auf den Landkreis Märkisch-Oderland als untere</w:t>
      </w:r>
    </w:p>
    <w:p>
      <w:r>
        <w:t xml:space="preserve">Naturschutzbehörde</w:t>
      </w:r>
    </w:p>
    <w:p>
      <w:r>
        <w:t xml:space="preserve">übertragen.</w:t>
      </w:r>
    </w:p>
    <w:p>
      <w:r>
        <w:rPr>
          <w:color w:val="555555"/>
          <w:sz w:val="17"/>
        </w:rPr>
        <w:t xml:space="preserve">Zitiervorschlag: § 1 VO-ID211740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https://recht.nulegal.eu/gesetze/VO-ID211740/1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