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VO-ID211723 (Brandenburg)</w:t>
      </w:r>
    </w:p>
    <w:p>
      <w:r>
        <w:rPr>
          <w:color w:val="555555"/>
          <w:sz w:val="18"/>
        </w:rPr>
        <w:t xml:space="preserve">Verordnung zum automatisierten Datenaustausch zwischen Grundbuchamt und der für die Führung des Liegenschaftskatasters zuständigen Stelle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</w:t>
      </w:r>
    </w:p>
    <w:p>
      <w:r>
        <w:t xml:space="preserve">Verordnung tritt am Tage nach der Verkündung in Kraft.</w:t>
      </w:r>
    </w:p>
    <w:p>
      <w:r>
        <w:t xml:space="preserve">Potsdam, den</w:t>
      </w:r>
    </w:p>
    <w:p>
      <w:r>
        <w:t xml:space="preserve">7. September 2004</w:t>
      </w:r>
    </w:p>
    <w:p>
      <w:r>
        <w:t xml:space="preserve">Die Ministerin</w:t>
      </w:r>
    </w:p>
    <w:p>
      <w:r>
        <w:t xml:space="preserve">der Justiz</w:t>
      </w:r>
    </w:p>
    <w:p>
      <w:r>
        <w:t xml:space="preserve">und für Europaangelegenheiten</w:t>
      </w:r>
    </w:p>
    <w:p>
      <w:r>
        <w:t xml:space="preserve">Barbara Richstein</w:t>
      </w:r>
    </w:p>
    <w:p>
      <w:r>
        <w:rPr>
          <w:color w:val="555555"/>
          <w:sz w:val="17"/>
        </w:rPr>
        <w:t xml:space="preserve">Zitiervorschlag: § 2 VO-ID211723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https://recht.nulegal.eu/gesetze/VO-ID211723/2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