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VO-ID211723 (Brandenburg)</w:t>
      </w:r>
    </w:p>
    <w:p>
      <w:r>
        <w:rPr>
          <w:color w:val="555555"/>
          <w:sz w:val="18"/>
        </w:rPr>
        <w:t xml:space="preserve">Verordnung zum automatisierten Datenaustausch zwischen Grundbuchamt und der für die Führung des Liegenschaftskatasters zuständigen Stelle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technischen Voraussetzungen für einen automatisierten Datenaustausch bestehen,</w:t>
      </w:r>
    </w:p>
    <w:p>
      <w:r>
        <w:t xml:space="preserve">übermitteln die Grundbuchämter der für die Führung des Liegenschaftskatasters</w:t>
      </w:r>
    </w:p>
    <w:p>
      <w:r>
        <w:t xml:space="preserve">zuständigen Stelle maschinell die Grundbuchstelle sowie die Daten des</w:t>
      </w:r>
    </w:p>
    <w:p>
      <w:r>
        <w:t xml:space="preserve">Bestandsverzeichnisses und der ersten Abteilung.</w:t>
      </w:r>
    </w:p>
    <w:p>
      <w:r>
        <w:rPr>
          <w:color w:val="555555"/>
          <w:sz w:val="17"/>
        </w:rPr>
        <w:t xml:space="preserve">Zitiervorschlag: § 1 VO-ID211723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https://recht.nulegal.eu/gesetze/VO-ID211723/1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VO-ID211723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