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VO-ID211712 (Brandenburg)</w:t>
      </w:r>
    </w:p>
    <w:p>
      <w:r>
        <w:rPr>
          <w:color w:val="555555"/>
          <w:sz w:val="18"/>
        </w:rPr>
        <w:t xml:space="preserve">Verordnung zur Auflösung der Besitz- und Verkehrsteuerabteilung der Oberfinanzdirektion Cottbus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Ermächtigung der Landesregierung zum Erlass von Rechtsverordnungen</w:t>
      </w:r>
    </w:p>
    <w:p>
      <w:r>
        <w:t xml:space="preserve">nach § 2a Abs. 2 Satz 3 des Finanzverwaltungsgesetzes wird auf das</w:t>
      </w:r>
    </w:p>
    <w:p>
      <w:r>
        <w:t xml:space="preserve">für Finanzen zuständige Mitglied der Landesregierung übertragen.</w:t>
      </w:r>
    </w:p>
    <w:p>
      <w:r>
        <w:rPr>
          <w:color w:val="555555"/>
          <w:sz w:val="17"/>
        </w:rPr>
        <w:t xml:space="preserve">Zitiervorschlag: § 5 VO-ID211712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https://recht.nulegal.eu/gesetze/VO-ID211712/5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