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VO-ID211712 (Brandenburg)</w:t>
      </w:r>
    </w:p>
    <w:p>
      <w:r>
        <w:rPr>
          <w:color w:val="555555"/>
          <w:sz w:val="18"/>
        </w:rPr>
        <w:t xml:space="preserve">Verordnung zur Auflösung der Besitz- und Verkehrsteuerabteilung der Oberfinanzdirektion Cottbus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Aufgaben der Zentralen Bezügestelle des Landes Brandenburg bei der</w:t>
      </w:r>
    </w:p>
    <w:p>
      <w:r>
        <w:t xml:space="preserve">Oberfinanzdirektion Cottbus werden mit der Auflösung der Besitz- und</w:t>
      </w:r>
    </w:p>
    <w:p>
      <w:r>
        <w:t xml:space="preserve">Verkehrsteuerabteilung der Oberfinanzdirektion Cottbus der Einrichtung nach</w:t>
      </w:r>
    </w:p>
    <w:p>
      <w:r>
        <w:t xml:space="preserve">§ 12 des Landesorganisationsgesetzes mit dem Namen „Zentrale</w:t>
      </w:r>
    </w:p>
    <w:p>
      <w:r>
        <w:t xml:space="preserve">Bezügestelle des Landes Brandenburg“ zugewiesen.</w:t>
      </w:r>
    </w:p>
    <w:p>
      <w:r>
        <w:rPr>
          <w:color w:val="555555"/>
          <w:sz w:val="17"/>
        </w:rPr>
        <w:t xml:space="preserve">Zitiervorschlag: § 4 VO-ID211712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https://recht.nulegal.eu/gesetze/VO-ID211712/4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