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VO-ID211712 (Brandenburg)</w:t>
      </w:r>
    </w:p>
    <w:p>
      <w:r>
        <w:rPr>
          <w:color w:val="555555"/>
          <w:sz w:val="18"/>
        </w:rPr>
        <w:t xml:space="preserve">Verordnung zur Auflösung der Besitz- und Verkehrsteuerabteilung der Oberfinanzdirektion Cottbus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der Besitz- und Verkehrsteuerabteilung der Oberfinanzdirektion Cottbus</w:t>
      </w:r>
    </w:p>
    <w:p>
      <w:r>
        <w:t xml:space="preserve">zugewiesenen Aufgaben gehen vorbehaltlich der Bestimmungen in § 3 und</w:t>
      </w:r>
    </w:p>
    <w:p>
      <w:r>
        <w:t xml:space="preserve">§ 4 auf das Ministerium der Finanzen über.</w:t>
      </w:r>
    </w:p>
    <w:p>
      <w:r>
        <w:rPr>
          <w:color w:val="555555"/>
          <w:sz w:val="17"/>
        </w:rPr>
        <w:t xml:space="preserve">Zitiervorschlag: § 2 VO-ID211712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https://recht.nulegal.eu/gesetze/VO-ID211712/2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