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VO-ID211712 (Brandenburg)</w:t>
      </w:r>
    </w:p>
    <w:p>
      <w:r>
        <w:rPr>
          <w:color w:val="555555"/>
          <w:sz w:val="18"/>
        </w:rPr>
        <w:t xml:space="preserve">Verordnung zur Auflösung der Besitz- und Verkehrsteuerabteilung der Oberfinanzdirektion Cottbus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Besitz- und Verkehrsteuerabteilung der Oberfinanzdirektion Cottbus wird</w:t>
      </w:r>
    </w:p>
    <w:p>
      <w:r>
        <w:t xml:space="preserve">aufgelöst.</w:t>
      </w:r>
    </w:p>
    <w:p>
      <w:r>
        <w:rPr>
          <w:color w:val="555555"/>
          <w:sz w:val="17"/>
        </w:rPr>
        <w:t xml:space="preserve">Zitiervorschlag: § 1 VO-ID211712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https://recht.nulegal.eu/gesetze/VO-ID211712/1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