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VO-ID211711 (Brandenburg)</w:t>
      </w:r>
    </w:p>
    <w:p>
      <w:r>
        <w:rPr>
          <w:color w:val="555555"/>
          <w:sz w:val="18"/>
        </w:rPr>
        <w:t xml:space="preserve">Verordnung zur Errichtung des Technischen Finanzamtes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Finanzrechenzentrum der Steuerverwaltung des Landes Brandenburg wird als</w:t>
      </w:r>
    </w:p>
    <w:p>
      <w:r>
        <w:t xml:space="preserve">Technisches Finanzamt Cottbus (Dienstleistungs- und Informationstechnisches</w:t>
      </w:r>
    </w:p>
    <w:p>
      <w:r>
        <w:t xml:space="preserve">Zentrum – DIZ) mit Sitz in Cottbus errichtet.</w:t>
      </w:r>
    </w:p>
    <w:p>
      <w:r>
        <w:rPr>
          <w:color w:val="555555"/>
          <w:sz w:val="17"/>
        </w:rPr>
        <w:t xml:space="preserve">Zitiervorschlag: § 1 VO-ID211711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https://recht.nulegal.eu/gesetze/VO-ID211711/1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