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VO-ID211687 (Brandenburg)</w:t>
      </w:r>
    </w:p>
    <w:p>
      <w:r>
        <w:rPr>
          <w:color w:val="555555"/>
          <w:sz w:val="18"/>
        </w:rPr>
        <w:t xml:space="preserve">Verordnung über Zuständigkeiten nach dem Börsengesetz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Ermächtigung der Landesregierung zum Erlass von</w:t>
      </w:r>
    </w:p>
    <w:p>
      <w:r>
        <w:t xml:space="preserve">Rechtsverordnungen nach § 58 Abs. 2 Satz 1 des Börsengesetzes über Art und Umfang der Anzeigen von</w:t>
      </w:r>
    </w:p>
    <w:p>
      <w:r>
        <w:t xml:space="preserve">elektronischen Handelssystemen und der vorzulegenden</w:t>
      </w:r>
    </w:p>
    <w:p>
      <w:r>
        <w:t xml:space="preserve">Unterlagen wird auf das für Wirtschaft zuständige Ministerium übertragen.</w:t>
      </w:r>
    </w:p>
    <w:p>
      <w:r>
        <w:rPr>
          <w:color w:val="555555"/>
          <w:sz w:val="17"/>
        </w:rPr>
        <w:t xml:space="preserve">Zitiervorschlag: § 2 VO-ID211687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https://recht.nulegal.eu/gesetze/VO-ID211687/2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