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VO-ID211686 (Brandenburg)</w:t>
      </w:r>
    </w:p>
    <w:p>
      <w:r>
        <w:rPr>
          <w:color w:val="555555"/>
          <w:sz w:val="18"/>
        </w:rPr>
        <w:t xml:space="preserve">Verordnung zur Übertragung der Befugnisse nach dem Familienrechtsänderungsgesetz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</w:t>
      </w:r>
    </w:p>
    <w:p>
      <w:r>
        <w:t xml:space="preserve">Verordnung tritt am 1. April 2003 in Kraft.</w:t>
      </w:r>
    </w:p>
    <w:p>
      <w:r>
        <w:t xml:space="preserve">Potsdam,</w:t>
      </w:r>
    </w:p>
    <w:p>
      <w:r>
        <w:t xml:space="preserve">den 9. Januar 2003</w:t>
      </w:r>
    </w:p>
    <w:p>
      <w:r>
        <w:rPr>
          <w:color w:val="555555"/>
          <w:sz w:val="17"/>
        </w:rPr>
        <w:t xml:space="preserve">Zitiervorschlag: § 3 VO-ID211686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https://recht.nulegal.eu/gesetze/VO-ID211686/3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