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VO-ID211686 (Brandenburg)</w:t>
      </w:r>
    </w:p>
    <w:p>
      <w:r>
        <w:rPr>
          <w:color w:val="555555"/>
          <w:sz w:val="18"/>
        </w:rPr>
        <w:t xml:space="preserve">Verordnung zur Übertragung der Befugnisse nach dem Familienrechtsänderungsgesetz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</w:t>
      </w:r>
    </w:p>
    <w:p>
      <w:r>
        <w:t xml:space="preserve">bei In-Kraft-Treten dieser Verordnung anhängigen Verfahren werden von der</w:t>
      </w:r>
    </w:p>
    <w:p>
      <w:r>
        <w:t xml:space="preserve">Landesjustizverwaltung zu Ende geführt.</w:t>
      </w:r>
    </w:p>
    <w:p>
      <w:r>
        <w:rPr>
          <w:color w:val="555555"/>
          <w:sz w:val="17"/>
        </w:rPr>
        <w:t xml:space="preserve">Zitiervorschlag: § 2 VO-ID211686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https://recht.nulegal.eu/gesetze/VO-ID211686/2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