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VO-ID211686 (Brandenburg)</w:t>
      </w:r>
    </w:p>
    <w:p>
      <w:r>
        <w:rPr>
          <w:color w:val="555555"/>
          <w:sz w:val="18"/>
        </w:rPr>
        <w:t xml:space="preserve">Verordnung zur Übertragung der Befugnisse nach dem Familienrechtsänderungsgesetz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</w:t>
      </w:r>
    </w:p>
    <w:p>
      <w:r>
        <w:t xml:space="preserve">der Landesjustizverwaltung nach dem Familienrechtsänderungsgesetz zustehenden</w:t>
      </w:r>
    </w:p>
    <w:p>
      <w:r>
        <w:t xml:space="preserve">Befugnisse werden auf das Brandenburgische Oberlandesgericht als</w:t>
      </w:r>
    </w:p>
    <w:p>
      <w:r>
        <w:t xml:space="preserve">Justizverwaltungsbehörde übertragen.</w:t>
      </w:r>
    </w:p>
    <w:p>
      <w:r>
        <w:rPr>
          <w:color w:val="555555"/>
          <w:sz w:val="17"/>
        </w:rPr>
        <w:t xml:space="preserve">Zitiervorschlag: § 1 VO-ID211686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https://recht.nulegal.eu/gesetze/VO-ID211686/1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