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VO-ID211668 (Brandenburg)</w:t>
      </w:r>
    </w:p>
    <w:p>
      <w:r>
        <w:rPr>
          <w:color w:val="555555"/>
          <w:sz w:val="18"/>
        </w:rPr>
        <w:t xml:space="preserve">Dritte Verordnung zur Festsetzung des Regelbedarfs im Land Brandenburg (3. Regelbedarf-Verordnung)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in § 1 festgesetzten Sätze gelten nur für</w:t>
      </w:r>
    </w:p>
    <w:p>
      <w:r>
        <w:t xml:space="preserve">Unterhalt, der auf die Zeit nach dem Inkrafttreten dieser Verordnung entfällt.</w:t>
      </w:r>
    </w:p>
    <w:p>
      <w:r>
        <w:rPr>
          <w:color w:val="555555"/>
          <w:sz w:val="17"/>
        </w:rPr>
        <w:t xml:space="preserve">Zitiervorschlag: § 2 VO-ID211668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https://recht.nulegal.eu/gesetze/VO-ID211668/2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