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VO-ID211661 (Brandenburg)</w:t>
      </w:r>
    </w:p>
    <w:p>
      <w:r>
        <w:rPr>
          <w:color w:val="555555"/>
          <w:sz w:val="18"/>
        </w:rPr>
        <w:t xml:space="preserve">Verordnung über die Bestimmung der zuständigen Behörde für die Verfolgung und Ahndung von Ordnungswidrigkeiten nach § 154 des Flurbereinigungsgesetzes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29. August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VO-ID211661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https://recht.nulegal.eu/gesetze/VO-ID211661/2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