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VO-ID211660 (Brandenburg) — Handlungen im Rahmen der Wassergewinnung</w:t>
      </w:r>
    </w:p>
    <w:p>
      <w:r>
        <w:rPr>
          <w:color w:val="555555"/>
          <w:sz w:val="18"/>
        </w:rPr>
        <w:t xml:space="preserve">Verordnung zur Festsetzung des Wasserschutzgebietes für das Wasserwerk Eichwalde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Verbote des § 4 Nr. 25, des § 5 Nr. 1 und 2, des § 6 Nr. 14, 15, 21, 23 und 24 sowie des § 7 Nr. 1 und 3 gelten nicht für Handlungen zur öffentlichen Wasserversorgung, die durch diese Verordnung geschützt ist.</w:t>
      </w:r>
    </w:p>
    <w:p>
      <w:r>
        <w:rPr>
          <w:color w:val="555555"/>
          <w:sz w:val="17"/>
        </w:rPr>
        <w:t xml:space="preserve">Zitiervorschlag: § 8 VO-ID211660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https://recht.nulegal.eu/gesetze/VO-ID211660/8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