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VO-ID211660 (Brandenburg) — Schutzbestimmungen</w:t>
      </w:r>
    </w:p>
    <w:p>
      <w:r>
        <w:rPr>
          <w:color w:val="555555"/>
          <w:sz w:val="18"/>
        </w:rPr>
        <w:t xml:space="preserve">Verordnung zur Festsetzung des Wasserschutzgebietes für das Wasserwerk Eichwalde</w:t>
      </w:r>
    </w:p>
    <w:p>
      <w:r>
        <w:rPr>
          <w:color w:val="555555"/>
          <w:sz w:val="18"/>
        </w:rPr>
        <w:t xml:space="preserve">Landesrecht Brandenburg</w:t>
      </w:r>
    </w:p>
    <w:p>
      <w:r>
        <w:rPr>
          <w:color w:val="555555"/>
          <w:sz w:val="18"/>
        </w:rPr>
        <w:t xml:space="preserve">Stand: 01.08.2026 (konsolidierte Textfassung, kein amtliches Inkrafttretensdatum)</w:t>
      </w:r>
    </w:p>
    <w:p>
      <w:r>
        <w:t xml:space="preserve">Die Schutzbestimmungen für die Zone III B gelten auch für die Zone III A, die Zone II und die Zone I. Die Schutzbestimmungen für die Zone III A gelten auch für die Zone II und die Zone I. Die Schutzbestimmungen für die Zone II gelten auch für die Zone I. Die allgemeinen Vorschriften zum Schutz der Gewässer bleiben unberührt.</w:t>
      </w:r>
    </w:p>
    <w:p>
      <w:r>
        <w:rPr>
          <w:color w:val="555555"/>
          <w:sz w:val="17"/>
        </w:rPr>
        <w:t xml:space="preserve">Zitiervorschlag: § 3 VO-ID211660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https://recht.nulegal.eu/gesetze/VO-ID211660/3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