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VO-ID211652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für das Wasserwerk Staaken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Zone I ist vom Begünstigten auf Anordnung der unteren Wasserbehörde gegen unbefugtes Betreten, z. B.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t xml:space="preserve">(3) Die untere Wasserbehörde kann anordnen, dass der Begünstigte das Aufstellen der Verbotszeichen 269 oder Richtzeichen 354 der Straßenverkehrs-Ordnung an den dafür in Betracht kommenden Straßen und Wegen bei der zuständigen Straßenverkehrsbehörde zu beantragen hat.</w:t>
      </w:r>
    </w:p>
    <w:p>
      <w:r>
        <w:rPr>
          <w:color w:val="555555"/>
          <w:sz w:val="17"/>
        </w:rPr>
        <w:t xml:space="preserve">Zitiervorschlag: § 10 VO-ID211652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https://recht.nulegal.eu/gesetze/VO-ID211652/10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