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VO-ID211651 (Brandenburg) — Entschädigung und Ausgleich</w:t>
      </w:r>
    </w:p>
    <w:p>
      <w:r>
        <w:rPr>
          <w:color w:val="555555"/>
          <w:sz w:val="18"/>
        </w:rPr>
        <w:t xml:space="preserve">Verordnung zur Festsetzung des Wasserschutzgebietes für das Wasserwerk Berlin-Friedrichshagen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Entschädigung und Ausgleich sind nach Maßgabe des § 16 Abs. 2, 3 und 4 des Brandenburgischen Wassergesetzes zu leisten.</w:t>
      </w:r>
    </w:p>
    <w:p>
      <w:r>
        <w:rPr>
          <w:color w:val="555555"/>
          <w:sz w:val="17"/>
        </w:rPr>
        <w:t xml:space="preserve">Zitiervorschlag: § 9 VO-ID211651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https://recht.nulegal.eu/gesetze/VO-ID211651/9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