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VO-ID211651 (Brandenburg) — Räumlicher Geltungsbereich</w:t>
      </w:r>
    </w:p>
    <w:p>
      <w:r>
        <w:rPr>
          <w:color w:val="555555"/>
          <w:sz w:val="18"/>
        </w:rPr>
        <w:t xml:space="preserve">Verordnung zur Festsetzung des Wasserschutzgebietes für das Wasserwerk Berlin-Friedrichshagen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Grenzen der Zonen III A und III B sind in der Anlage 1 zu dieser Verordnung beschrieben.</w:t>
      </w:r>
    </w:p>
    <w:p>
      <w:r>
        <w:t xml:space="preserve">(2) Die Grenzen des Wasserschutzgebietes und der einzelnen Zonen sind in der Übersichtskarte in der Anlage 2 zu dieser Verordnung dargestellt. Für die genaue Grenzziehung sind die Karten maßgebend, die gemäß § 15 Abs. 2 des Brandenburgischen Wassergesetzes bei der unteren Wasserbehörde des Landkreises Märkisch-Oderland in 15306 Seelow, Puschkinplatz 11, der Amtsverwaltung Hoppegarten in 15366 Dahlwitz-Hoppegarten, Lindenallee 14, der unteren Wasserbehörde des Landkreises Oder-Spree in 15848 Beeskow, Rathenaustraße 13, der Gemeindeverwaltung von Schöneiche, 15566 Schöneiche, Brandenburgische Straße 40 und der Gemeindeverwaltung von Woltersdorf, 15569 Woltersdorf, Rudolf-Breitscheid-Straße 23, hinterlegt sind und dort während der Dienststunden von jedermann kostenlos eingesehen werden können.</w:t>
      </w:r>
    </w:p>
    <w:p>
      <w:r>
        <w:t xml:space="preserve">(3) Veränderungen der Grenzen oder der Bezeichnungen der im Wasserschutzgebiet gelegenen Grundstücke berühren die festgesetzten Grenzen der Zonen nicht.</w:t>
      </w:r>
    </w:p>
    <w:p>
      <w:r>
        <w:t xml:space="preserve">(4) Das Wasserschutzgebiet ist vom Begünstigten auf Anordnung der unteren Wasserbehörde durch eine entsprechende Beschilderung ausreichend zu kennzeichnen.</w:t>
      </w:r>
    </w:p>
    <w:p>
      <w:r>
        <w:t xml:space="preserve">(5) Die untere Wasserbehörde kann anordnen, dass der Begünstigte das Aufstellen der Verbotszeichen 269 oder Richtzeichen 354 der Straßenverkehrs-Ordnung an den dafür in Betracht kommenden Straßen und Wegen bei der zuständigen Straßenverkehrsbehörde zu beantragen hat.</w:t>
      </w:r>
    </w:p>
    <w:p>
      <w:r>
        <w:rPr>
          <w:color w:val="555555"/>
          <w:sz w:val="17"/>
        </w:rPr>
        <w:t xml:space="preserve">Zitiervorschlag: § 2 VO-ID211651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https://recht.nulegal.eu/gesetze/VO-ID211651/2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