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VO-ID211651 (Brandenburg) — In-Kraft-Treten</w:t>
      </w:r>
    </w:p>
    <w:p>
      <w:r>
        <w:rPr>
          <w:color w:val="555555"/>
          <w:sz w:val="18"/>
        </w:rPr>
        <w:t xml:space="preserve">Verordnung zur Festsetzung des Wasserschutzgebietes für das Wasserwerk Berlin-Friedrichshagen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20. Februar 2001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Manfred Stolpe</w:t>
      </w:r>
    </w:p>
    <w:p>
      <w:r>
        <w:t xml:space="preserve">Der Minister für Landwirtschaft, Umweltschutz und Raumordnung</w:t>
      </w:r>
    </w:p>
    <w:p>
      <w:r>
        <w:t xml:space="preserve">Wolfgang Birthler</w:t>
      </w:r>
    </w:p>
    <w:p>
      <w:r>
        <w:rPr>
          <w:color w:val="555555"/>
          <w:sz w:val="17"/>
        </w:rPr>
        <w:t xml:space="preserve">Zitiervorschlag: § 11 VO-ID211651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https://recht.nulegal.eu/gesetze/VO-ID211651/11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